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1B" w:rsidRPr="00B60FE2" w:rsidRDefault="00901FB0" w:rsidP="00AE2B24">
      <w:pPr>
        <w:jc w:val="center"/>
        <w:rPr>
          <w:b/>
          <w:sz w:val="28"/>
          <w:szCs w:val="28"/>
        </w:rPr>
      </w:pPr>
      <w:r w:rsidRPr="00B60FE2">
        <w:rPr>
          <w:b/>
          <w:sz w:val="28"/>
          <w:szCs w:val="28"/>
        </w:rPr>
        <w:t xml:space="preserve">PROGRAMMATION </w:t>
      </w:r>
      <w:r w:rsidR="00AE2B24">
        <w:rPr>
          <w:b/>
          <w:sz w:val="28"/>
          <w:szCs w:val="28"/>
        </w:rPr>
        <w:t>MATHEMATIQUES</w:t>
      </w:r>
      <w:r w:rsidR="00182DCD" w:rsidRPr="00B60FE2">
        <w:rPr>
          <w:b/>
          <w:sz w:val="28"/>
          <w:szCs w:val="28"/>
        </w:rPr>
        <w:t xml:space="preserve"> COURS PREPARATOIRE</w:t>
      </w:r>
      <w:r w:rsidR="00430B8F" w:rsidRPr="00B60FE2">
        <w:rPr>
          <w:b/>
          <w:sz w:val="28"/>
          <w:szCs w:val="28"/>
        </w:rPr>
        <w:t xml:space="preserve"> (CP)</w:t>
      </w:r>
    </w:p>
    <w:p w:rsidR="00182DCD" w:rsidRPr="00C773B0" w:rsidRDefault="00182DCD" w:rsidP="00B60FE2">
      <w:r w:rsidRPr="00C773B0">
        <w:t>En référence aux repères annuels de progression</w:t>
      </w:r>
      <w:r w:rsidR="00C773B0">
        <w:t xml:space="preserve"> de CP</w:t>
      </w:r>
      <w:r w:rsidRPr="00C773B0">
        <w:t xml:space="preserve"> : </w:t>
      </w:r>
    </w:p>
    <w:tbl>
      <w:tblPr>
        <w:tblStyle w:val="Grilledutableau"/>
        <w:tblW w:w="22696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1686"/>
        <w:gridCol w:w="3969"/>
        <w:gridCol w:w="3275"/>
        <w:gridCol w:w="29"/>
        <w:gridCol w:w="3407"/>
        <w:gridCol w:w="18"/>
        <w:gridCol w:w="3419"/>
        <w:gridCol w:w="7"/>
        <w:gridCol w:w="3429"/>
        <w:gridCol w:w="3426"/>
        <w:gridCol w:w="15"/>
      </w:tblGrid>
      <w:tr w:rsidR="00AE2B24" w:rsidTr="00AE2B24">
        <w:trPr>
          <w:gridBefore w:val="1"/>
          <w:wBefore w:w="16" w:type="dxa"/>
          <w:trHeight w:val="279"/>
        </w:trPr>
        <w:tc>
          <w:tcPr>
            <w:tcW w:w="1686" w:type="dxa"/>
            <w:vMerge w:val="restart"/>
            <w:shd w:val="clear" w:color="auto" w:fill="E2EFD9" w:themeFill="accent6" w:themeFillTint="33"/>
          </w:tcPr>
          <w:p w:rsidR="00C773B0" w:rsidRPr="00AE2B24" w:rsidRDefault="00C773B0" w:rsidP="001E30C7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theme="minorHAnsi"/>
                <w:b/>
              </w:rPr>
              <w:t>NOMBRES</w:t>
            </w:r>
          </w:p>
          <w:p w:rsidR="003A032D" w:rsidRPr="00AE2B24" w:rsidRDefault="003A032D" w:rsidP="003A032D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AE2B24">
              <w:rPr>
                <w:rFonts w:ascii="Comic Sans MS" w:hAnsi="Comic Sans MS" w:cs="Roboto-Bold"/>
                <w:b/>
                <w:bCs/>
                <w:color w:val="00B050"/>
              </w:rPr>
              <w:t>Comprendre et utiliser des nombres entiers pour dénombrer, ordonner,</w:t>
            </w:r>
          </w:p>
          <w:p w:rsidR="003A032D" w:rsidRPr="00AE2B24" w:rsidRDefault="003A032D" w:rsidP="003A032D">
            <w:pPr>
              <w:rPr>
                <w:rFonts w:ascii="Comic Sans MS" w:hAnsi="Comic Sans MS"/>
                <w:b/>
              </w:rPr>
            </w:pPr>
            <w:r w:rsidRPr="00AE2B24">
              <w:rPr>
                <w:rFonts w:ascii="Comic Sans MS" w:hAnsi="Comic Sans MS" w:cs="Roboto-Bold"/>
                <w:b/>
                <w:bCs/>
                <w:color w:val="00B050"/>
              </w:rPr>
              <w:t>repérer, comparer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773B0" w:rsidRDefault="00C773B0" w:rsidP="001E30C7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C773B0" w:rsidRPr="00F047DF" w:rsidRDefault="00C773B0" w:rsidP="001E30C7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275" w:type="dxa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41" w:type="dxa"/>
            <w:gridSpan w:val="2"/>
            <w:shd w:val="clear" w:color="auto" w:fill="E2EFD9" w:themeFill="accent6" w:themeFillTint="33"/>
          </w:tcPr>
          <w:p w:rsidR="00C773B0" w:rsidRPr="00FF48A7" w:rsidRDefault="00C773B0" w:rsidP="001E30C7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AE2B24" w:rsidTr="00AE2B24">
        <w:trPr>
          <w:gridBefore w:val="1"/>
          <w:wBefore w:w="16" w:type="dxa"/>
          <w:trHeight w:val="4250"/>
        </w:trPr>
        <w:tc>
          <w:tcPr>
            <w:tcW w:w="1686" w:type="dxa"/>
            <w:vMerge/>
            <w:shd w:val="clear" w:color="auto" w:fill="E2EFD9" w:themeFill="accent6" w:themeFillTint="33"/>
          </w:tcPr>
          <w:p w:rsidR="00C773B0" w:rsidRPr="00232DDD" w:rsidRDefault="00C773B0" w:rsidP="001E30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3B0" w:rsidRPr="00740C3F" w:rsidRDefault="00C773B0" w:rsidP="00480A0F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>
              <w:rPr>
                <w:rFonts w:ascii="Roboto-Bold" w:hAnsi="Roboto-Bold"/>
                <w:color w:val="000000"/>
                <w:sz w:val="20"/>
                <w:szCs w:val="20"/>
              </w:rPr>
              <w:br/>
            </w:r>
            <w:r w:rsidRPr="00FD04CE">
              <w:rPr>
                <w:rFonts w:ascii="Roboto-BoldItalic" w:hAnsi="Roboto-BoldItalic"/>
                <w:b/>
                <w:bCs/>
                <w:i/>
                <w:iCs/>
                <w:color w:val="4472C4" w:themeColor="accent5"/>
                <w:sz w:val="20"/>
                <w:szCs w:val="20"/>
              </w:rPr>
              <w:t>Pour des nombres inférieurs ou égaux à 100</w:t>
            </w:r>
            <w:r>
              <w:rPr>
                <w:rFonts w:ascii="Roboto-BoldItalic" w:hAnsi="Roboto-BoldItalic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dénombre des collections en les organisant.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compare, encadre, intercale des nombres entiers en utilisant les symboles =, &lt; et &gt;.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ordonne des nombres dans l’ordre croissant ou décroissant.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comprend et sait utiliser à bon escient les expressions : égal à, autant que, plus que, plus grand que, moins que, plus petit que…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repère un rang ou une position dans une file ou dans une liste d’objets ou de personnes, le nombre d’objets ou de personnes étant inférieur à 30.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fait le lien entre le rang dans une liste et le nombre d’éléments qui le précèdent pour des nombres inférieurs à 20.</w:t>
            </w:r>
          </w:p>
        </w:tc>
        <w:tc>
          <w:tcPr>
            <w:tcW w:w="3275" w:type="dxa"/>
          </w:tcPr>
          <w:p w:rsidR="00C773B0" w:rsidRPr="005A04BD" w:rsidRDefault="00C773B0" w:rsidP="001E30C7">
            <w:pPr>
              <w:rPr>
                <w:i/>
              </w:rPr>
            </w:pPr>
          </w:p>
        </w:tc>
        <w:tc>
          <w:tcPr>
            <w:tcW w:w="3436" w:type="dxa"/>
            <w:gridSpan w:val="2"/>
          </w:tcPr>
          <w:p w:rsidR="00C773B0" w:rsidRPr="00583953" w:rsidRDefault="00C773B0" w:rsidP="001E30C7">
            <w:pPr>
              <w:rPr>
                <w:b/>
              </w:rPr>
            </w:pPr>
          </w:p>
        </w:tc>
        <w:tc>
          <w:tcPr>
            <w:tcW w:w="3437" w:type="dxa"/>
            <w:gridSpan w:val="2"/>
          </w:tcPr>
          <w:p w:rsidR="00C773B0" w:rsidRPr="00232DDD" w:rsidRDefault="00C773B0" w:rsidP="001E30C7">
            <w:pPr>
              <w:rPr>
                <w:b/>
              </w:rPr>
            </w:pPr>
          </w:p>
        </w:tc>
        <w:tc>
          <w:tcPr>
            <w:tcW w:w="3436" w:type="dxa"/>
            <w:gridSpan w:val="2"/>
          </w:tcPr>
          <w:p w:rsidR="00C773B0" w:rsidRPr="00FF48A7" w:rsidRDefault="00C773B0" w:rsidP="001E30C7">
            <w:pPr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C773B0" w:rsidRPr="00FF48A7" w:rsidRDefault="00C773B0" w:rsidP="001E30C7">
            <w:pPr>
              <w:rPr>
                <w:b/>
              </w:rPr>
            </w:pPr>
          </w:p>
        </w:tc>
      </w:tr>
      <w:tr w:rsidR="00AE2B24" w:rsidTr="00AE2B24">
        <w:trPr>
          <w:gridBefore w:val="1"/>
          <w:wBefore w:w="16" w:type="dxa"/>
          <w:trHeight w:val="262"/>
        </w:trPr>
        <w:tc>
          <w:tcPr>
            <w:tcW w:w="1686" w:type="dxa"/>
            <w:vMerge w:val="restart"/>
            <w:shd w:val="clear" w:color="auto" w:fill="E2EFD9" w:themeFill="accent6" w:themeFillTint="33"/>
          </w:tcPr>
          <w:p w:rsidR="006228F0" w:rsidRPr="00AE2B24" w:rsidRDefault="006228F0" w:rsidP="006228F0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theme="minorHAnsi"/>
                <w:b/>
              </w:rPr>
              <w:t>NOMBRES (SUITE)</w:t>
            </w:r>
          </w:p>
          <w:p w:rsidR="003A032D" w:rsidRPr="00AE2B24" w:rsidRDefault="003A032D" w:rsidP="006228F0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="Roboto-Bold"/>
                <w:b/>
                <w:bCs/>
                <w:color w:val="00B050"/>
              </w:rPr>
              <w:t>Nommer, lire, écrire, représenter des nombres entiers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6228F0" w:rsidRDefault="006228F0" w:rsidP="006228F0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228F0" w:rsidRPr="00F047DF" w:rsidRDefault="006228F0" w:rsidP="006228F0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275" w:type="dxa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41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AE2B24" w:rsidTr="00AE2B24">
        <w:trPr>
          <w:gridBefore w:val="1"/>
          <w:wBefore w:w="16" w:type="dxa"/>
          <w:trHeight w:val="2648"/>
        </w:trPr>
        <w:tc>
          <w:tcPr>
            <w:tcW w:w="1686" w:type="dxa"/>
            <w:vMerge/>
            <w:shd w:val="clear" w:color="auto" w:fill="E2EFD9" w:themeFill="accent6" w:themeFillTint="33"/>
          </w:tcPr>
          <w:p w:rsidR="006228F0" w:rsidRPr="00232DDD" w:rsidRDefault="006228F0" w:rsidP="006228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3FB" w:rsidRPr="00A41DC9" w:rsidRDefault="006228F0" w:rsidP="00A41DC9">
            <w:pPr>
              <w:rPr>
                <w:rFonts w:ascii="Roboto-Regular" w:hAnsi="Roboto-Regular"/>
                <w:color w:val="000000"/>
                <w:sz w:val="20"/>
                <w:szCs w:val="20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>
              <w:rPr>
                <w:rFonts w:ascii="Roboto-Bold" w:hAnsi="Roboto-Bold"/>
                <w:color w:val="000000"/>
                <w:sz w:val="20"/>
                <w:szCs w:val="20"/>
              </w:rPr>
              <w:br/>
            </w:r>
            <w:r w:rsidRPr="00FD04CE">
              <w:rPr>
                <w:rFonts w:ascii="Roboto-BoldItalic" w:hAnsi="Roboto-BoldItalic"/>
                <w:b/>
                <w:bCs/>
                <w:i/>
                <w:iCs/>
                <w:color w:val="4472C4" w:themeColor="accent5"/>
                <w:sz w:val="20"/>
                <w:szCs w:val="20"/>
              </w:rPr>
              <w:t>Pour des nombres inférieurs ou égaux à 100</w:t>
            </w:r>
            <w:r>
              <w:rPr>
                <w:rFonts w:ascii="Roboto-BoldItalic" w:hAnsi="Roboto-BoldItalic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lit un nombre écrit en chiffres.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écrit en chiffres et en lettres des nombres dictés.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et utilise diverses représentations d’un nombre et il passe de l’une à l’autre.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la valeur des chiffres en fonction de leur position (unités, dizaines).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et utilise la relation entre dizaine et unité.</w:t>
            </w:r>
          </w:p>
        </w:tc>
        <w:tc>
          <w:tcPr>
            <w:tcW w:w="3275" w:type="dxa"/>
          </w:tcPr>
          <w:p w:rsidR="006228F0" w:rsidRPr="005A04BD" w:rsidRDefault="006228F0" w:rsidP="006228F0">
            <w:pPr>
              <w:rPr>
                <w:i/>
              </w:rPr>
            </w:pPr>
          </w:p>
        </w:tc>
        <w:tc>
          <w:tcPr>
            <w:tcW w:w="3436" w:type="dxa"/>
            <w:gridSpan w:val="2"/>
          </w:tcPr>
          <w:p w:rsidR="006228F0" w:rsidRPr="00583953" w:rsidRDefault="006228F0" w:rsidP="006228F0">
            <w:pPr>
              <w:rPr>
                <w:b/>
              </w:rPr>
            </w:pPr>
          </w:p>
        </w:tc>
        <w:tc>
          <w:tcPr>
            <w:tcW w:w="3437" w:type="dxa"/>
            <w:gridSpan w:val="2"/>
          </w:tcPr>
          <w:p w:rsidR="006228F0" w:rsidRPr="00232DDD" w:rsidRDefault="006228F0" w:rsidP="006228F0">
            <w:pPr>
              <w:rPr>
                <w:b/>
              </w:rPr>
            </w:pPr>
          </w:p>
        </w:tc>
        <w:tc>
          <w:tcPr>
            <w:tcW w:w="3436" w:type="dxa"/>
            <w:gridSpan w:val="2"/>
          </w:tcPr>
          <w:p w:rsidR="006228F0" w:rsidRPr="00FF48A7" w:rsidRDefault="006228F0" w:rsidP="006228F0">
            <w:pPr>
              <w:rPr>
                <w:b/>
              </w:rPr>
            </w:pPr>
          </w:p>
        </w:tc>
        <w:tc>
          <w:tcPr>
            <w:tcW w:w="3441" w:type="dxa"/>
            <w:gridSpan w:val="2"/>
          </w:tcPr>
          <w:p w:rsidR="006228F0" w:rsidRPr="00FF48A7" w:rsidRDefault="006228F0" w:rsidP="006228F0">
            <w:pPr>
              <w:rPr>
                <w:b/>
              </w:rPr>
            </w:pPr>
          </w:p>
        </w:tc>
      </w:tr>
      <w:tr w:rsidR="00AE2B24" w:rsidTr="00AE2B24">
        <w:trPr>
          <w:gridBefore w:val="1"/>
          <w:wBefore w:w="16" w:type="dxa"/>
          <w:trHeight w:val="563"/>
        </w:trPr>
        <w:tc>
          <w:tcPr>
            <w:tcW w:w="1686" w:type="dxa"/>
            <w:vMerge w:val="restart"/>
            <w:shd w:val="clear" w:color="auto" w:fill="E2EFD9" w:themeFill="accent6" w:themeFillTint="33"/>
          </w:tcPr>
          <w:p w:rsidR="006228F0" w:rsidRPr="00AE2B24" w:rsidRDefault="006228F0" w:rsidP="006228F0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theme="minorHAnsi"/>
                <w:b/>
              </w:rPr>
              <w:t>RESOLUTION DE PROBLEMES</w:t>
            </w:r>
          </w:p>
          <w:p w:rsidR="003A032D" w:rsidRPr="00AE2B24" w:rsidRDefault="003A032D" w:rsidP="006228F0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="Roboto-Bold"/>
                <w:b/>
                <w:bCs/>
                <w:color w:val="00B050"/>
              </w:rPr>
              <w:t>Résoudre des problèmes en utilisant des nombres entiers et le calcul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6228F0" w:rsidRDefault="006228F0" w:rsidP="006228F0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228F0" w:rsidRPr="00F047DF" w:rsidRDefault="006228F0" w:rsidP="006228F0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275" w:type="dxa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41" w:type="dxa"/>
            <w:gridSpan w:val="2"/>
            <w:shd w:val="clear" w:color="auto" w:fill="E2EFD9" w:themeFill="accent6" w:themeFillTint="33"/>
          </w:tcPr>
          <w:p w:rsidR="006228F0" w:rsidRPr="00FF48A7" w:rsidRDefault="006228F0" w:rsidP="006228F0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AE2B24" w:rsidTr="0063318B">
        <w:trPr>
          <w:gridBefore w:val="1"/>
          <w:wBefore w:w="16" w:type="dxa"/>
          <w:trHeight w:val="4155"/>
        </w:trPr>
        <w:tc>
          <w:tcPr>
            <w:tcW w:w="1686" w:type="dxa"/>
            <w:vMerge/>
            <w:shd w:val="clear" w:color="auto" w:fill="E2EFD9" w:themeFill="accent6" w:themeFillTint="33"/>
          </w:tcPr>
          <w:p w:rsidR="006228F0" w:rsidRPr="00232DDD" w:rsidRDefault="006228F0" w:rsidP="006228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228F0" w:rsidRDefault="006228F0" w:rsidP="006228F0">
            <w:pPr>
              <w:rPr>
                <w:rFonts w:ascii="Roboto-Regular" w:hAnsi="Roboto-Regular"/>
                <w:color w:val="000000"/>
                <w:sz w:val="20"/>
                <w:szCs w:val="20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>
              <w:rPr>
                <w:rFonts w:ascii="Roboto-Bold" w:hAnsi="Roboto-Bold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 xml:space="preserve">Il résout des problèmes du champ additif (addition </w:t>
            </w:r>
            <w:r w:rsidR="0063318B">
              <w:rPr>
                <w:rFonts w:ascii="Roboto-Regular" w:hAnsi="Roboto-Regular"/>
                <w:color w:val="000000"/>
                <w:sz w:val="20"/>
                <w:szCs w:val="20"/>
              </w:rPr>
              <w:t xml:space="preserve">et soustraction) en une ou deux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étapes.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modélise ces problèmes à l’aide de schémas ou d’écritures mathématiques.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le sens des signes - et +.</w:t>
            </w:r>
          </w:p>
          <w:p w:rsidR="003A032D" w:rsidRDefault="003A032D" w:rsidP="003A032D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:rsidR="003A032D" w:rsidRDefault="003A032D" w:rsidP="003A032D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3A032D" w:rsidRDefault="003A032D" w:rsidP="003A032D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résout, en mobilisant ses connaissances du champ additif sur des petits nombres ou en</w:t>
            </w:r>
          </w:p>
          <w:p w:rsidR="00AE2B24" w:rsidRDefault="003A032D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s’aidant de manipulations, des problèmes du champ multiplicatif en une étape (recherche d’un</w:t>
            </w:r>
            <w:r w:rsidR="0063318B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produit ou recherche de la valeur d’une part ou du nombre de parts dans une situation d’un</w:t>
            </w:r>
            <w:r w:rsidR="0063318B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partage équitable). Les écritures mathématiques avec les symboles : et x ne sont pas</w:t>
            </w:r>
            <w:r w:rsidR="0063318B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attendues.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75" w:type="dxa"/>
          </w:tcPr>
          <w:p w:rsidR="006228F0" w:rsidRPr="005E4241" w:rsidRDefault="006228F0" w:rsidP="006228F0">
            <w:pPr>
              <w:rPr>
                <w:i/>
              </w:rPr>
            </w:pPr>
          </w:p>
        </w:tc>
        <w:tc>
          <w:tcPr>
            <w:tcW w:w="3436" w:type="dxa"/>
            <w:gridSpan w:val="2"/>
          </w:tcPr>
          <w:p w:rsidR="006228F0" w:rsidRDefault="006228F0" w:rsidP="006228F0"/>
        </w:tc>
        <w:tc>
          <w:tcPr>
            <w:tcW w:w="3437" w:type="dxa"/>
            <w:gridSpan w:val="2"/>
          </w:tcPr>
          <w:p w:rsidR="006228F0" w:rsidRDefault="006228F0" w:rsidP="006228F0"/>
        </w:tc>
        <w:tc>
          <w:tcPr>
            <w:tcW w:w="3436" w:type="dxa"/>
            <w:gridSpan w:val="2"/>
          </w:tcPr>
          <w:p w:rsidR="006228F0" w:rsidRPr="008F0B13" w:rsidRDefault="006228F0" w:rsidP="006228F0">
            <w:pPr>
              <w:rPr>
                <w:i/>
              </w:rPr>
            </w:pPr>
          </w:p>
        </w:tc>
        <w:tc>
          <w:tcPr>
            <w:tcW w:w="3441" w:type="dxa"/>
            <w:gridSpan w:val="2"/>
          </w:tcPr>
          <w:p w:rsidR="006228F0" w:rsidRPr="008F0B13" w:rsidRDefault="006228F0" w:rsidP="006228F0">
            <w:pPr>
              <w:rPr>
                <w:i/>
              </w:rPr>
            </w:pPr>
          </w:p>
        </w:tc>
      </w:tr>
      <w:tr w:rsidR="00AE2B24" w:rsidTr="00AE2B24">
        <w:trPr>
          <w:gridBefore w:val="1"/>
          <w:wBefore w:w="16" w:type="dxa"/>
          <w:trHeight w:val="497"/>
        </w:trPr>
        <w:tc>
          <w:tcPr>
            <w:tcW w:w="1686" w:type="dxa"/>
            <w:vMerge w:val="restart"/>
            <w:shd w:val="clear" w:color="auto" w:fill="E2EFD9" w:themeFill="accent6" w:themeFillTint="33"/>
          </w:tcPr>
          <w:p w:rsidR="003841B4" w:rsidRPr="00AE2B24" w:rsidRDefault="003841B4" w:rsidP="003841B4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theme="minorHAnsi"/>
                <w:b/>
              </w:rPr>
              <w:lastRenderedPageBreak/>
              <w:t>CALCUL</w:t>
            </w:r>
          </w:p>
          <w:p w:rsidR="003A032D" w:rsidRPr="00AE2B24" w:rsidRDefault="003A032D" w:rsidP="003841B4">
            <w:pPr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>Calculer avec des nombres entiers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3841B4" w:rsidRDefault="003841B4" w:rsidP="003841B4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3841B4" w:rsidRPr="00F047DF" w:rsidRDefault="003841B4" w:rsidP="003841B4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275" w:type="dxa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37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36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41" w:type="dxa"/>
            <w:gridSpan w:val="2"/>
            <w:shd w:val="clear" w:color="auto" w:fill="E2EFD9" w:themeFill="accent6" w:themeFillTint="33"/>
          </w:tcPr>
          <w:p w:rsidR="003841B4" w:rsidRPr="00FF48A7" w:rsidRDefault="003841B4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AE2B24" w:rsidTr="00AE2B24">
        <w:trPr>
          <w:gridBefore w:val="1"/>
          <w:wBefore w:w="16" w:type="dxa"/>
          <w:trHeight w:val="3881"/>
        </w:trPr>
        <w:tc>
          <w:tcPr>
            <w:tcW w:w="1686" w:type="dxa"/>
            <w:vMerge/>
            <w:shd w:val="clear" w:color="auto" w:fill="E2EFD9" w:themeFill="accent6" w:themeFillTint="33"/>
          </w:tcPr>
          <w:p w:rsidR="003841B4" w:rsidRPr="00A32710" w:rsidRDefault="003841B4" w:rsidP="003841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3FB" w:rsidRPr="00AE2B24" w:rsidRDefault="003841B4" w:rsidP="00AE2B24">
            <w:pPr>
              <w:rPr>
                <w:rFonts w:ascii="Roboto-Regular" w:hAnsi="Roboto-Regular"/>
                <w:color w:val="000000"/>
                <w:sz w:val="20"/>
                <w:szCs w:val="20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>
              <w:rPr>
                <w:rFonts w:ascii="Roboto-Bold" w:hAnsi="Roboto-Bold"/>
                <w:color w:val="000000"/>
                <w:sz w:val="20"/>
                <w:szCs w:val="20"/>
              </w:rPr>
              <w:br/>
            </w:r>
            <w:r w:rsidRPr="00FD04CE">
              <w:rPr>
                <w:rFonts w:ascii="Roboto-BoldItalic" w:hAnsi="Roboto-BoldItalic"/>
                <w:b/>
                <w:bCs/>
                <w:i/>
                <w:iCs/>
                <w:color w:val="4472C4" w:themeColor="accent5"/>
                <w:sz w:val="20"/>
                <w:szCs w:val="20"/>
              </w:rPr>
              <w:t>Les nombres en jeu sont tous inférieurs ou égaux à 100</w:t>
            </w:r>
            <w:r>
              <w:rPr>
                <w:rFonts w:ascii="Roboto-BoldItalic" w:hAnsi="Roboto-BoldItalic"/>
                <w:color w:val="000000"/>
                <w:sz w:val="20"/>
                <w:szCs w:val="20"/>
              </w:rPr>
              <w:br/>
            </w:r>
            <w:r>
              <w:rPr>
                <w:rFonts w:ascii="Roboto-Italic" w:hAnsi="Roboto-Italic"/>
                <w:i/>
                <w:iCs/>
                <w:color w:val="000000"/>
                <w:sz w:val="20"/>
                <w:szCs w:val="20"/>
              </w:rPr>
              <w:t>Faits numériques utiles pour tous les types de calcul</w:t>
            </w:r>
            <w:r>
              <w:rPr>
                <w:rFonts w:ascii="Roboto-Italic" w:hAnsi="Roboto-Italic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les compléments à 10.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la décomposition additive des nombres inférieurs ou égaux à 10.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le double des nombres inférieurs à 10.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ou sait retrouver rapidement les doubles des dizaines entières (jusqu’à 50).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ou sait retrouver rapidement la moitié des nombres pairs inférieurs à 20.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connaît ou sait retrouver rapidement la somme de deux nombres inférieurs ou égaux à 10.</w:t>
            </w:r>
          </w:p>
        </w:tc>
        <w:tc>
          <w:tcPr>
            <w:tcW w:w="3275" w:type="dxa"/>
          </w:tcPr>
          <w:p w:rsidR="003841B4" w:rsidRPr="008463BF" w:rsidRDefault="003841B4" w:rsidP="003841B4">
            <w:pPr>
              <w:rPr>
                <w:i/>
              </w:rPr>
            </w:pPr>
          </w:p>
        </w:tc>
        <w:tc>
          <w:tcPr>
            <w:tcW w:w="3436" w:type="dxa"/>
            <w:gridSpan w:val="2"/>
          </w:tcPr>
          <w:p w:rsidR="003841B4" w:rsidRDefault="003841B4" w:rsidP="003841B4"/>
        </w:tc>
        <w:tc>
          <w:tcPr>
            <w:tcW w:w="3437" w:type="dxa"/>
            <w:gridSpan w:val="2"/>
          </w:tcPr>
          <w:p w:rsidR="003841B4" w:rsidRDefault="003841B4" w:rsidP="003841B4"/>
        </w:tc>
        <w:tc>
          <w:tcPr>
            <w:tcW w:w="3436" w:type="dxa"/>
            <w:gridSpan w:val="2"/>
          </w:tcPr>
          <w:p w:rsidR="003841B4" w:rsidRDefault="003841B4" w:rsidP="003841B4"/>
        </w:tc>
        <w:tc>
          <w:tcPr>
            <w:tcW w:w="3441" w:type="dxa"/>
            <w:gridSpan w:val="2"/>
          </w:tcPr>
          <w:p w:rsidR="003841B4" w:rsidRDefault="003841B4" w:rsidP="003841B4"/>
        </w:tc>
      </w:tr>
      <w:tr w:rsidR="00C773B0" w:rsidTr="00AE2B24">
        <w:trPr>
          <w:gridAfter w:val="1"/>
          <w:wAfter w:w="15" w:type="dxa"/>
          <w:trHeight w:val="123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C773B0" w:rsidRDefault="00C773B0" w:rsidP="003841B4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theme="minorHAnsi"/>
                <w:b/>
              </w:rPr>
              <w:t>CALCUL (SUITE)</w:t>
            </w:r>
          </w:p>
          <w:p w:rsidR="00AE2B24" w:rsidRPr="00AE2B24" w:rsidRDefault="00AE2B24" w:rsidP="003841B4">
            <w:pPr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Roboto-Bold" w:hAnsi="Roboto-Bold"/>
                <w:b/>
                <w:bCs/>
                <w:i/>
                <w:color w:val="00B050"/>
              </w:rPr>
              <w:t>Calcul mental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773B0" w:rsidRDefault="00C773B0" w:rsidP="003841B4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C773B0" w:rsidRPr="00F047DF" w:rsidRDefault="00C773B0" w:rsidP="003841B4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E2EFD9" w:themeFill="accent6" w:themeFillTint="33"/>
          </w:tcPr>
          <w:p w:rsidR="00C773B0" w:rsidRPr="00FF48A7" w:rsidRDefault="00C773B0" w:rsidP="003841B4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C773B0" w:rsidTr="00AE2B24">
        <w:trPr>
          <w:gridAfter w:val="1"/>
          <w:wAfter w:w="15" w:type="dxa"/>
          <w:trHeight w:val="2160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C773B0" w:rsidRPr="00A32710" w:rsidRDefault="00C773B0" w:rsidP="003841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3B0" w:rsidRDefault="00C773B0" w:rsidP="00AE2B24">
            <w:pPr>
              <w:rPr>
                <w:rFonts w:ascii="Roboto-Bold" w:hAnsi="Roboto-Bold"/>
                <w:b/>
                <w:bCs/>
                <w:color w:val="5AB88F"/>
                <w:sz w:val="26"/>
                <w:szCs w:val="26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 w:rsidRPr="008D5B5C">
              <w:rPr>
                <w:rFonts w:ascii="Roboto-Bold" w:hAnsi="Roboto-Bold"/>
                <w:b/>
                <w:bCs/>
                <w:i/>
                <w:color w:val="4472C4" w:themeColor="accent5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calcule mentalement des sommes et des différences.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commence à savoir utiliser des procédures et des propriétés : mettre le plus grand nombre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br/>
              <w:t>en premier, changer l’ordre des termes d’une somme, décomposer additivement un des termes pour calculer plus facilement, associer différemment les termes d’une somme.</w:t>
            </w:r>
          </w:p>
        </w:tc>
        <w:tc>
          <w:tcPr>
            <w:tcW w:w="3304" w:type="dxa"/>
            <w:gridSpan w:val="2"/>
          </w:tcPr>
          <w:p w:rsidR="00C773B0" w:rsidRPr="008463BF" w:rsidRDefault="00C773B0" w:rsidP="003841B4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C773B0" w:rsidRDefault="00C773B0" w:rsidP="003841B4"/>
        </w:tc>
        <w:tc>
          <w:tcPr>
            <w:tcW w:w="3426" w:type="dxa"/>
            <w:gridSpan w:val="2"/>
          </w:tcPr>
          <w:p w:rsidR="00C773B0" w:rsidRDefault="00C773B0" w:rsidP="003841B4"/>
        </w:tc>
        <w:tc>
          <w:tcPr>
            <w:tcW w:w="3429" w:type="dxa"/>
          </w:tcPr>
          <w:p w:rsidR="00C773B0" w:rsidRDefault="00C773B0" w:rsidP="003841B4"/>
        </w:tc>
        <w:tc>
          <w:tcPr>
            <w:tcW w:w="3426" w:type="dxa"/>
          </w:tcPr>
          <w:p w:rsidR="00C773B0" w:rsidRDefault="00C773B0" w:rsidP="003841B4"/>
        </w:tc>
      </w:tr>
      <w:tr w:rsidR="00BF23FB" w:rsidTr="00AE2B24">
        <w:trPr>
          <w:gridAfter w:val="1"/>
          <w:wAfter w:w="15" w:type="dxa"/>
          <w:trHeight w:val="503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BF23FB" w:rsidRPr="0063318B" w:rsidRDefault="00BF23FB" w:rsidP="00BF23FB">
            <w:pPr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 w:cstheme="minorHAnsi"/>
                <w:b/>
              </w:rPr>
              <w:t>CALCUL (SUITE)</w:t>
            </w:r>
          </w:p>
          <w:p w:rsidR="00AE2B24" w:rsidRPr="0063318B" w:rsidRDefault="00AE2B24" w:rsidP="00BF23FB">
            <w:pPr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/>
                <w:b/>
                <w:bCs/>
                <w:i/>
                <w:color w:val="00B050"/>
              </w:rPr>
              <w:t>Calcul en ligne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BF23FB" w:rsidRDefault="00BF23FB" w:rsidP="00BF23F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BF23FB" w:rsidRPr="00F047DF" w:rsidRDefault="00BF23FB" w:rsidP="00BF23F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E2EFD9" w:themeFill="accent6" w:themeFillTint="33"/>
          </w:tcPr>
          <w:p w:rsidR="00BF23FB" w:rsidRPr="00FF48A7" w:rsidRDefault="00BF23FB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BF23FB" w:rsidTr="00AE2B24">
        <w:trPr>
          <w:gridAfter w:val="1"/>
          <w:wAfter w:w="15" w:type="dxa"/>
          <w:trHeight w:val="1166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BF23FB" w:rsidRPr="00A32710" w:rsidRDefault="00BF23FB" w:rsidP="00BF23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3FB" w:rsidRDefault="00BF23FB" w:rsidP="00AE2B24">
            <w:pP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 w:rsidRPr="008D5B5C">
              <w:rPr>
                <w:rFonts w:ascii="Roboto-Bold" w:hAnsi="Roboto-Bold"/>
                <w:b/>
                <w:bCs/>
                <w:i/>
                <w:color w:val="4472C4" w:themeColor="accent5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Mêmes compétences que pour le calcul mental mais avec le support de l’écrit, ce qui permet de proposer des nombres plus grands, ou des retenues, ou plus de deux nombres.</w:t>
            </w:r>
          </w:p>
        </w:tc>
        <w:tc>
          <w:tcPr>
            <w:tcW w:w="3304" w:type="dxa"/>
            <w:gridSpan w:val="2"/>
          </w:tcPr>
          <w:p w:rsidR="00BF23FB" w:rsidRPr="008463BF" w:rsidRDefault="00BF23FB" w:rsidP="00BF23F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BF23FB" w:rsidRDefault="00BF23FB" w:rsidP="00BF23FB"/>
        </w:tc>
        <w:tc>
          <w:tcPr>
            <w:tcW w:w="3426" w:type="dxa"/>
            <w:gridSpan w:val="2"/>
          </w:tcPr>
          <w:p w:rsidR="00BF23FB" w:rsidRDefault="00BF23FB" w:rsidP="00BF23FB"/>
        </w:tc>
        <w:tc>
          <w:tcPr>
            <w:tcW w:w="3429" w:type="dxa"/>
          </w:tcPr>
          <w:p w:rsidR="00BF23FB" w:rsidRDefault="00BF23FB" w:rsidP="00BF23FB"/>
        </w:tc>
        <w:tc>
          <w:tcPr>
            <w:tcW w:w="3426" w:type="dxa"/>
          </w:tcPr>
          <w:p w:rsidR="00BF23FB" w:rsidRDefault="00BF23FB" w:rsidP="00BF23FB"/>
        </w:tc>
      </w:tr>
      <w:tr w:rsidR="00C773B0" w:rsidTr="00AE2B24">
        <w:trPr>
          <w:gridAfter w:val="1"/>
          <w:wAfter w:w="15" w:type="dxa"/>
          <w:trHeight w:val="511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C773B0" w:rsidRPr="0063318B" w:rsidRDefault="00C773B0" w:rsidP="00BF23FB">
            <w:pPr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 w:cstheme="minorHAnsi"/>
                <w:b/>
              </w:rPr>
              <w:t>CALCUL (SUITE)</w:t>
            </w:r>
          </w:p>
          <w:p w:rsidR="00AE2B24" w:rsidRPr="0063318B" w:rsidRDefault="00AE2B24" w:rsidP="00BF23FB">
            <w:pPr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/>
                <w:b/>
                <w:i/>
                <w:iCs/>
                <w:color w:val="00B050"/>
              </w:rPr>
              <w:t>Calcul posé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773B0" w:rsidRDefault="00C773B0" w:rsidP="00BF23F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C773B0" w:rsidRPr="00F047DF" w:rsidRDefault="00C773B0" w:rsidP="00BF23F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E2EFD9" w:themeFill="accent6" w:themeFillTint="33"/>
          </w:tcPr>
          <w:p w:rsidR="00C773B0" w:rsidRPr="00FF48A7" w:rsidRDefault="00C773B0" w:rsidP="00BF23F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C773B0" w:rsidTr="00AE2B24">
        <w:trPr>
          <w:gridAfter w:val="1"/>
          <w:wAfter w:w="15" w:type="dxa"/>
          <w:trHeight w:val="781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C773B0" w:rsidRPr="00A32710" w:rsidRDefault="00C773B0" w:rsidP="00BF23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773B0" w:rsidRDefault="00C773B0" w:rsidP="00AE2B24">
            <w:pP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  <w:r>
              <w:rPr>
                <w:rFonts w:ascii="Roboto-Italic" w:hAnsi="Roboto-Italic"/>
                <w:color w:val="000000"/>
                <w:sz w:val="20"/>
                <w:szCs w:val="20"/>
              </w:rPr>
              <w:br/>
            </w:r>
            <w:r>
              <w:rPr>
                <w:rFonts w:ascii="SymbolMT" w:hAnsi="SymbolMT"/>
                <w:color w:val="5AB88F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/>
                <w:color w:val="000000"/>
                <w:sz w:val="20"/>
                <w:szCs w:val="20"/>
              </w:rPr>
              <w:t>Il pose et calcule des additions en colonnes avec ou sans retenue</w:t>
            </w:r>
            <w:r w:rsidR="00AE2B24">
              <w:rPr>
                <w:rFonts w:ascii="Roboto-Regular" w:hAnsi="Roboto-Regular"/>
                <w:color w:val="000000"/>
                <w:sz w:val="20"/>
                <w:szCs w:val="20"/>
              </w:rPr>
              <w:t> ;</w:t>
            </w:r>
          </w:p>
        </w:tc>
        <w:tc>
          <w:tcPr>
            <w:tcW w:w="3304" w:type="dxa"/>
            <w:gridSpan w:val="2"/>
          </w:tcPr>
          <w:p w:rsidR="00C773B0" w:rsidRPr="008463BF" w:rsidRDefault="00C773B0" w:rsidP="00BF23F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C773B0" w:rsidRDefault="00C773B0" w:rsidP="00BF23FB"/>
        </w:tc>
        <w:tc>
          <w:tcPr>
            <w:tcW w:w="3426" w:type="dxa"/>
            <w:gridSpan w:val="2"/>
          </w:tcPr>
          <w:p w:rsidR="00C773B0" w:rsidRDefault="00C773B0" w:rsidP="00BF23FB"/>
        </w:tc>
        <w:tc>
          <w:tcPr>
            <w:tcW w:w="3429" w:type="dxa"/>
          </w:tcPr>
          <w:p w:rsidR="00C773B0" w:rsidRDefault="00C773B0" w:rsidP="00BF23FB"/>
        </w:tc>
        <w:tc>
          <w:tcPr>
            <w:tcW w:w="3426" w:type="dxa"/>
          </w:tcPr>
          <w:p w:rsidR="00C773B0" w:rsidRDefault="00C773B0" w:rsidP="00BF23FB"/>
        </w:tc>
      </w:tr>
      <w:tr w:rsidR="0063318B" w:rsidTr="0063318B">
        <w:trPr>
          <w:gridAfter w:val="1"/>
          <w:wAfter w:w="15" w:type="dxa"/>
          <w:trHeight w:val="481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63318B" w:rsidRPr="00AE2B24" w:rsidRDefault="0063318B" w:rsidP="0063318B">
            <w:pPr>
              <w:rPr>
                <w:rFonts w:ascii="Comic Sans MS" w:hAnsi="Comic Sans MS" w:cstheme="minorHAnsi"/>
                <w:b/>
              </w:rPr>
            </w:pPr>
            <w:r w:rsidRPr="00AE2B24">
              <w:rPr>
                <w:rFonts w:ascii="Comic Sans MS" w:hAnsi="Comic Sans MS" w:cstheme="minorHAnsi"/>
                <w:b/>
              </w:rPr>
              <w:t>GRANDEURS ET MESURES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>Comparer, estimer, mesurer des longueurs, des masses, des contenances,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 xml:space="preserve">des durées - Utiliser le lexique, les unités, les </w:t>
            </w: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lastRenderedPageBreak/>
              <w:t>instruments de mesures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>spécifiques de ces grandeurs</w:t>
            </w:r>
          </w:p>
          <w:p w:rsidR="0063318B" w:rsidRPr="00AE2B24" w:rsidRDefault="0063318B" w:rsidP="0063318B">
            <w:pPr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63318B" w:rsidRDefault="0063318B" w:rsidP="0063318B">
            <w:pPr>
              <w:jc w:val="center"/>
              <w:rPr>
                <w:b/>
              </w:rPr>
            </w:pPr>
            <w:r w:rsidRPr="00F047DF">
              <w:rPr>
                <w:b/>
              </w:rPr>
              <w:lastRenderedPageBreak/>
              <w:t>Attendus de fin de CP</w:t>
            </w:r>
          </w:p>
          <w:p w:rsidR="0063318B" w:rsidRPr="00F047DF" w:rsidRDefault="0063318B" w:rsidP="0063318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3318B" w:rsidTr="00AE2B24">
        <w:trPr>
          <w:gridAfter w:val="1"/>
          <w:wAfter w:w="15" w:type="dxa"/>
          <w:trHeight w:val="1098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63318B" w:rsidRPr="00AE2B24" w:rsidRDefault="0063318B" w:rsidP="0063318B">
            <w:pPr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3969" w:type="dxa"/>
          </w:tcPr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63318B" w:rsidRPr="003A032D" w:rsidRDefault="0063318B" w:rsidP="0063318B">
            <w:pPr>
              <w:autoSpaceDE w:val="0"/>
              <w:autoSpaceDN w:val="0"/>
              <w:adjustRightInd w:val="0"/>
              <w:rPr>
                <w:rFonts w:ascii="Roboto-BoldItalic" w:hAnsi="Roboto-BoldItalic" w:cs="Roboto-BoldItalic"/>
                <w:b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3A032D">
              <w:rPr>
                <w:rFonts w:ascii="Roboto-BoldItalic" w:hAnsi="Roboto-BoldItalic" w:cs="Roboto-BoldItalic"/>
                <w:b/>
                <w:bCs/>
                <w:i/>
                <w:iCs/>
                <w:color w:val="2E74B5" w:themeColor="accent1" w:themeShade="BF"/>
                <w:sz w:val="20"/>
                <w:szCs w:val="20"/>
              </w:rPr>
              <w:t>Longueurs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compare des objets, selon leur longueur.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compare des segments selon leur longueur.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sait que le m et le cm mesurent des longueurs.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mesure des segments en utilisant une règle graduée, en cm entiers ou dans une autre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unité (définie par les carreaux d’une feuille par exemple).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trace des segments de longueur donnée, en cm entiers en utilisant une règle graduée, ou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dans une autre unité (définie par les carreaux d’une feuille par exemple).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reproduit des segments en les mesurant en cm entiers ou en utilisant une bande de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papier.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commence à s’approprier quelques longueurs de référence :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1 cm (unité utilisée en classe),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20 cm (double-décimètre),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1 m (règle du professeur).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le lexique spécifique associé aux longueurs : plus long, plus court, plus près, plus loin, double, moitié.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63318B" w:rsidRPr="003A032D" w:rsidRDefault="0063318B" w:rsidP="0063318B">
            <w:pPr>
              <w:autoSpaceDE w:val="0"/>
              <w:autoSpaceDN w:val="0"/>
              <w:adjustRightInd w:val="0"/>
              <w:rPr>
                <w:rFonts w:ascii="Roboto-BoldItalic" w:hAnsi="Roboto-BoldItalic" w:cs="Roboto-BoldItalic"/>
                <w:b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3A032D">
              <w:rPr>
                <w:rFonts w:ascii="Roboto-BoldItalic" w:hAnsi="Roboto-BoldItalic" w:cs="Roboto-BoldItalic"/>
                <w:b/>
                <w:bCs/>
                <w:i/>
                <w:iCs/>
                <w:color w:val="2E74B5" w:themeColor="accent1" w:themeShade="BF"/>
                <w:sz w:val="20"/>
                <w:szCs w:val="20"/>
              </w:rPr>
              <w:t>Masses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231F20"/>
                <w:sz w:val="20"/>
                <w:szCs w:val="20"/>
              </w:rPr>
              <w:t xml:space="preserve">Il compare des objets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selon leur masse, en les soupesant (si les masses sont suffisamment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231F2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distinctes) ou en utilisant une balance de type </w:t>
            </w:r>
            <w:r>
              <w:rPr>
                <w:rFonts w:ascii="Roboto-Regular" w:hAnsi="Roboto-Regular" w:cs="Roboto-Regular"/>
                <w:color w:val="231F20"/>
                <w:sz w:val="20"/>
                <w:szCs w:val="20"/>
              </w:rPr>
              <w:t>Roberval.</w:t>
            </w:r>
          </w:p>
          <w:p w:rsidR="0063318B" w:rsidRPr="0063318B" w:rsidRDefault="0063318B" w:rsidP="0063318B">
            <w:pPr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Il utilise le lexique spécifique associé aux masses : plus lourd, moins lourd, plus </w:t>
            </w:r>
            <w:r>
              <w:rPr>
                <w:rFonts w:ascii="Roboto-Regular" w:hAnsi="Roboto-Regular" w:cs="Roboto-Regular"/>
                <w:sz w:val="20"/>
                <w:szCs w:val="20"/>
              </w:rPr>
              <w:t>léger.</w:t>
            </w:r>
          </w:p>
        </w:tc>
        <w:tc>
          <w:tcPr>
            <w:tcW w:w="3304" w:type="dxa"/>
            <w:gridSpan w:val="2"/>
          </w:tcPr>
          <w:p w:rsidR="0063318B" w:rsidRPr="008463BF" w:rsidRDefault="0063318B" w:rsidP="0063318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63318B" w:rsidRDefault="0063318B" w:rsidP="0063318B"/>
        </w:tc>
        <w:tc>
          <w:tcPr>
            <w:tcW w:w="3426" w:type="dxa"/>
            <w:gridSpan w:val="2"/>
          </w:tcPr>
          <w:p w:rsidR="0063318B" w:rsidRDefault="0063318B" w:rsidP="0063318B"/>
        </w:tc>
        <w:tc>
          <w:tcPr>
            <w:tcW w:w="3429" w:type="dxa"/>
          </w:tcPr>
          <w:p w:rsidR="0063318B" w:rsidRDefault="0063318B" w:rsidP="0063318B"/>
        </w:tc>
        <w:tc>
          <w:tcPr>
            <w:tcW w:w="3426" w:type="dxa"/>
          </w:tcPr>
          <w:p w:rsidR="0063318B" w:rsidRDefault="0063318B" w:rsidP="0063318B"/>
        </w:tc>
      </w:tr>
      <w:tr w:rsidR="0063318B" w:rsidTr="0063318B">
        <w:trPr>
          <w:gridAfter w:val="1"/>
          <w:wAfter w:w="15" w:type="dxa"/>
          <w:trHeight w:val="585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00B050"/>
              </w:rPr>
            </w:pPr>
            <w:r w:rsidRPr="0063318B">
              <w:rPr>
                <w:rFonts w:ascii="Comic Sans MS" w:hAnsi="Comic Sans MS" w:cstheme="minorHAnsi"/>
                <w:b/>
                <w:sz w:val="20"/>
                <w:szCs w:val="20"/>
              </w:rPr>
              <w:t>RESOLUTION</w:t>
            </w:r>
            <w:r w:rsidRPr="0063318B">
              <w:rPr>
                <w:rFonts w:ascii="Comic Sans MS" w:hAnsi="Comic Sans MS" w:cstheme="minorHAnsi"/>
                <w:b/>
              </w:rPr>
              <w:t xml:space="preserve"> DE PROBLEMES</w:t>
            </w:r>
            <w:r w:rsidRPr="0063318B">
              <w:rPr>
                <w:rFonts w:ascii="Comic Sans MS" w:hAnsi="Comic Sans MS" w:cs="Roboto-Bold"/>
                <w:b/>
                <w:bCs/>
                <w:color w:val="5AB990"/>
              </w:rPr>
              <w:t xml:space="preserve"> </w:t>
            </w: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>Résoudre des problèmes impliquant des longueurs, des masses, des</w:t>
            </w:r>
          </w:p>
          <w:p w:rsidR="0063318B" w:rsidRPr="0063318B" w:rsidRDefault="0063318B" w:rsidP="0063318B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>contenances, des durées, des prix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63318B" w:rsidRDefault="0063318B" w:rsidP="0063318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3318B" w:rsidRPr="00F047DF" w:rsidRDefault="0063318B" w:rsidP="0063318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3318B" w:rsidTr="0063318B">
        <w:trPr>
          <w:gridAfter w:val="1"/>
          <w:wAfter w:w="15" w:type="dxa"/>
          <w:trHeight w:val="1098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63318B" w:rsidRPr="0063318B" w:rsidRDefault="0063318B" w:rsidP="0063318B">
            <w:pPr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3969" w:type="dxa"/>
          </w:tcPr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résout des problèmes en une ou deux étapes impliquant des longueurs, des durées ou des prix.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le lexique spécifique associé aux prix :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plus cher, moins cher ;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rendre la monnaie ;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billet, pièce, somme, reste ;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euros.</w:t>
            </w:r>
          </w:p>
        </w:tc>
        <w:tc>
          <w:tcPr>
            <w:tcW w:w="3304" w:type="dxa"/>
            <w:gridSpan w:val="2"/>
          </w:tcPr>
          <w:p w:rsidR="0063318B" w:rsidRPr="008463BF" w:rsidRDefault="0063318B" w:rsidP="0063318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63318B" w:rsidRDefault="0063318B" w:rsidP="0063318B"/>
        </w:tc>
        <w:tc>
          <w:tcPr>
            <w:tcW w:w="3426" w:type="dxa"/>
            <w:gridSpan w:val="2"/>
          </w:tcPr>
          <w:p w:rsidR="0063318B" w:rsidRDefault="0063318B" w:rsidP="0063318B"/>
        </w:tc>
        <w:tc>
          <w:tcPr>
            <w:tcW w:w="3429" w:type="dxa"/>
          </w:tcPr>
          <w:p w:rsidR="0063318B" w:rsidRDefault="0063318B" w:rsidP="0063318B"/>
        </w:tc>
        <w:tc>
          <w:tcPr>
            <w:tcW w:w="3426" w:type="dxa"/>
          </w:tcPr>
          <w:p w:rsidR="0063318B" w:rsidRDefault="0063318B" w:rsidP="0063318B"/>
        </w:tc>
      </w:tr>
      <w:tr w:rsidR="0063318B" w:rsidTr="0063318B">
        <w:trPr>
          <w:gridAfter w:val="1"/>
          <w:wAfter w:w="15" w:type="dxa"/>
          <w:trHeight w:val="543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 w:cstheme="minorHAnsi"/>
                <w:b/>
              </w:rPr>
              <w:t>ESPACE ET GEOMETRIE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00B050"/>
              </w:rPr>
              <w:t xml:space="preserve">(Se) repérer et (se) déplacer en utilisant des repères et des </w:t>
            </w:r>
            <w:r w:rsidRPr="0063318B">
              <w:rPr>
                <w:rFonts w:ascii="Comic Sans MS" w:hAnsi="Comic Sans MS" w:cs="Roboto-Bold"/>
                <w:b/>
                <w:bCs/>
                <w:color w:val="00B050"/>
                <w:sz w:val="18"/>
                <w:szCs w:val="18"/>
              </w:rPr>
              <w:t>représentations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63318B" w:rsidRDefault="0063318B" w:rsidP="0063318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3318B" w:rsidRPr="00F047DF" w:rsidRDefault="0063318B" w:rsidP="0063318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3318B" w:rsidTr="0063318B">
        <w:trPr>
          <w:gridAfter w:val="1"/>
          <w:wAfter w:w="15" w:type="dxa"/>
          <w:trHeight w:val="500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3969" w:type="dxa"/>
          </w:tcPr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situe les uns par rapport aux autres des objets ou des personnes qui se trouvent dans la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classe ou dans l’école en utilisant un vocabulaire spatial précis : à gauche, à droite, sur, sous, entre, devant, derrière, au-dessus, en-dessous.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ou il produit une suite d’instructions qui codent un déplacement sur un tapis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quadrillé, dans la classe ou dans l’école en utilisant un vocabulaire spatial précis : avancer, reculer, tourner à droite, tourner à gauche, monter, descendre.</w:t>
            </w:r>
          </w:p>
        </w:tc>
        <w:tc>
          <w:tcPr>
            <w:tcW w:w="3304" w:type="dxa"/>
            <w:gridSpan w:val="2"/>
          </w:tcPr>
          <w:p w:rsidR="0063318B" w:rsidRPr="008463BF" w:rsidRDefault="0063318B" w:rsidP="0063318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63318B" w:rsidRDefault="0063318B" w:rsidP="0063318B"/>
        </w:tc>
        <w:tc>
          <w:tcPr>
            <w:tcW w:w="3426" w:type="dxa"/>
            <w:gridSpan w:val="2"/>
          </w:tcPr>
          <w:p w:rsidR="0063318B" w:rsidRDefault="0063318B" w:rsidP="0063318B"/>
        </w:tc>
        <w:tc>
          <w:tcPr>
            <w:tcW w:w="3429" w:type="dxa"/>
          </w:tcPr>
          <w:p w:rsidR="0063318B" w:rsidRDefault="0063318B" w:rsidP="0063318B"/>
        </w:tc>
        <w:tc>
          <w:tcPr>
            <w:tcW w:w="3426" w:type="dxa"/>
          </w:tcPr>
          <w:p w:rsidR="0063318B" w:rsidRDefault="0063318B" w:rsidP="0063318B"/>
        </w:tc>
      </w:tr>
      <w:tr w:rsidR="0063318B" w:rsidTr="0063318B">
        <w:trPr>
          <w:gridAfter w:val="1"/>
          <w:wAfter w:w="15" w:type="dxa"/>
          <w:trHeight w:val="507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5AB990"/>
              </w:rPr>
              <w:t>Reconnaître, nommer, décrire, reproduire quelques solides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63318B" w:rsidRDefault="0063318B" w:rsidP="0063318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3318B" w:rsidRPr="00F047DF" w:rsidRDefault="0063318B" w:rsidP="0063318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3318B" w:rsidTr="005726EC">
        <w:trPr>
          <w:gridAfter w:val="1"/>
          <w:wAfter w:w="15" w:type="dxa"/>
          <w:trHeight w:val="784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3969" w:type="dxa"/>
          </w:tcPr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reconnaît les solides usuels suivants : cube, boule, cône, pyramide, cylindre, pavé droit.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repère des solides simples dans son environnement proche.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nomme le cube, la boule et le pavé droit.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décrit le cube et le pavé droit en utilisant les termes face et sommet.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sait que les faces d’un cube sont des carrés et que les faces d’un pavé droit sont des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carrés ou des rectangles.</w:t>
            </w:r>
          </w:p>
        </w:tc>
        <w:tc>
          <w:tcPr>
            <w:tcW w:w="3304" w:type="dxa"/>
            <w:gridSpan w:val="2"/>
          </w:tcPr>
          <w:p w:rsidR="0063318B" w:rsidRPr="008463BF" w:rsidRDefault="0063318B" w:rsidP="0063318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63318B" w:rsidRDefault="0063318B" w:rsidP="0063318B"/>
        </w:tc>
        <w:tc>
          <w:tcPr>
            <w:tcW w:w="3426" w:type="dxa"/>
            <w:gridSpan w:val="2"/>
          </w:tcPr>
          <w:p w:rsidR="0063318B" w:rsidRDefault="0063318B" w:rsidP="0063318B"/>
        </w:tc>
        <w:tc>
          <w:tcPr>
            <w:tcW w:w="3429" w:type="dxa"/>
          </w:tcPr>
          <w:p w:rsidR="0063318B" w:rsidRDefault="0063318B" w:rsidP="0063318B"/>
        </w:tc>
        <w:tc>
          <w:tcPr>
            <w:tcW w:w="3426" w:type="dxa"/>
          </w:tcPr>
          <w:p w:rsidR="0063318B" w:rsidRDefault="0063318B" w:rsidP="0063318B"/>
        </w:tc>
      </w:tr>
      <w:tr w:rsidR="0063318B" w:rsidTr="0063318B">
        <w:trPr>
          <w:gridAfter w:val="1"/>
          <w:wAfter w:w="15" w:type="dxa"/>
          <w:trHeight w:val="581"/>
        </w:trPr>
        <w:tc>
          <w:tcPr>
            <w:tcW w:w="1702" w:type="dxa"/>
            <w:gridSpan w:val="2"/>
            <w:vMerge w:val="restart"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5AB990"/>
              </w:rPr>
              <w:t>Reconnaître, nommer, décrire, reproduire, construire quelques figures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5AB990"/>
              </w:rPr>
              <w:t>géométriques - Reconnaître et utiliser les notions d’alignement, d’angle droit,</w:t>
            </w:r>
          </w:p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  <w:r w:rsidRPr="0063318B">
              <w:rPr>
                <w:rFonts w:ascii="Comic Sans MS" w:hAnsi="Comic Sans MS" w:cs="Roboto-Bold"/>
                <w:b/>
                <w:bCs/>
                <w:color w:val="5AB990"/>
              </w:rPr>
              <w:t>d’égalité de longueurs, de milieu, de symétrie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63318B" w:rsidRDefault="0063318B" w:rsidP="0063318B">
            <w:pPr>
              <w:jc w:val="center"/>
              <w:rPr>
                <w:b/>
              </w:rPr>
            </w:pPr>
            <w:r w:rsidRPr="00F047DF">
              <w:rPr>
                <w:b/>
              </w:rPr>
              <w:t>Attendus de fin de CP</w:t>
            </w:r>
          </w:p>
          <w:p w:rsidR="0063318B" w:rsidRPr="00F047DF" w:rsidRDefault="0063318B" w:rsidP="0063318B">
            <w:pPr>
              <w:jc w:val="center"/>
              <w:rPr>
                <w:b/>
              </w:rPr>
            </w:pPr>
            <w:r>
              <w:rPr>
                <w:b/>
              </w:rPr>
              <w:t>(cf. repères annuels de progression)</w:t>
            </w:r>
          </w:p>
        </w:tc>
        <w:tc>
          <w:tcPr>
            <w:tcW w:w="3304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1</w:t>
            </w:r>
          </w:p>
        </w:tc>
        <w:tc>
          <w:tcPr>
            <w:tcW w:w="3425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2</w:t>
            </w:r>
          </w:p>
        </w:tc>
        <w:tc>
          <w:tcPr>
            <w:tcW w:w="3426" w:type="dxa"/>
            <w:gridSpan w:val="2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3</w:t>
            </w:r>
          </w:p>
        </w:tc>
        <w:tc>
          <w:tcPr>
            <w:tcW w:w="3429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4</w:t>
            </w:r>
          </w:p>
        </w:tc>
        <w:tc>
          <w:tcPr>
            <w:tcW w:w="3426" w:type="dxa"/>
            <w:shd w:val="clear" w:color="auto" w:fill="DEEAF6" w:themeFill="accent1" w:themeFillTint="33"/>
          </w:tcPr>
          <w:p w:rsidR="0063318B" w:rsidRPr="00FF48A7" w:rsidRDefault="0063318B" w:rsidP="0063318B">
            <w:pPr>
              <w:jc w:val="center"/>
              <w:rPr>
                <w:b/>
              </w:rPr>
            </w:pPr>
            <w:r w:rsidRPr="00FF48A7">
              <w:rPr>
                <w:b/>
              </w:rPr>
              <w:t>Période 5</w:t>
            </w:r>
          </w:p>
        </w:tc>
      </w:tr>
      <w:tr w:rsidR="0063318B" w:rsidTr="005726EC">
        <w:trPr>
          <w:gridAfter w:val="1"/>
          <w:wAfter w:w="15" w:type="dxa"/>
          <w:trHeight w:val="4404"/>
        </w:trPr>
        <w:tc>
          <w:tcPr>
            <w:tcW w:w="1702" w:type="dxa"/>
            <w:gridSpan w:val="2"/>
            <w:vMerge/>
            <w:shd w:val="clear" w:color="auto" w:fill="E2EFD9" w:themeFill="accent6" w:themeFillTint="33"/>
          </w:tcPr>
          <w:p w:rsidR="0063318B" w:rsidRPr="0063318B" w:rsidRDefault="0063318B" w:rsidP="0063318B">
            <w:pPr>
              <w:autoSpaceDE w:val="0"/>
              <w:autoSpaceDN w:val="0"/>
              <w:adjustRightInd w:val="0"/>
              <w:rPr>
                <w:rFonts w:ascii="Comic Sans MS" w:hAnsi="Comic Sans MS" w:cs="Roboto-Bold"/>
                <w:b/>
                <w:bCs/>
                <w:color w:val="5AB990"/>
              </w:rPr>
            </w:pPr>
          </w:p>
        </w:tc>
        <w:tc>
          <w:tcPr>
            <w:tcW w:w="3969" w:type="dxa"/>
          </w:tcPr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Ce que sait faire l’élève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reconnaît les figures usuelles suivantes : cercle, carré, rectangle et triangle.</w:t>
            </w:r>
          </w:p>
          <w:p w:rsidR="0063318B" w:rsidRDefault="0063318B" w:rsidP="005726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repère des figures simples dans un assemblage, dans son environnement proche ou sur</w:t>
            </w:r>
            <w:r w:rsidR="005726EC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des photos.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nomme le cercle, le carré, le rectangle et le triangle.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donne une première description du carré, du rectangle, du triangle en utilisant les termes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sommet et côté.</w:t>
            </w:r>
          </w:p>
          <w:p w:rsidR="0063318B" w:rsidRDefault="0063318B" w:rsidP="005726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reproduit un carré, un rectangle et un triangle ou des assemblages de ces figures sur du</w:t>
            </w:r>
            <w:r w:rsidR="005726EC">
              <w:rPr>
                <w:rFonts w:ascii="Roboto-Regular" w:hAnsi="Roboto-Regular" w:cs="Roboto-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papier quadrillé ou pointé, sans règle ou avec une règle.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la règle comme instrument de tracé.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repère visuellement des alignements.</w:t>
            </w:r>
          </w:p>
          <w:p w:rsidR="0063318B" w:rsidRDefault="0063318B" w:rsidP="0063318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5AB990"/>
                <w:sz w:val="20"/>
                <w:szCs w:val="20"/>
              </w:rPr>
              <w:t xml:space="preserve">• </w:t>
            </w:r>
            <w:r>
              <w:rPr>
                <w:rFonts w:ascii="Roboto-Regular" w:hAnsi="Roboto-Regular" w:cs="Roboto-Regular"/>
                <w:color w:val="000000"/>
                <w:sz w:val="20"/>
                <w:szCs w:val="20"/>
              </w:rPr>
              <w:t>Il utilise la règle pour repérer ou vérifier des alignements.</w:t>
            </w:r>
          </w:p>
        </w:tc>
        <w:tc>
          <w:tcPr>
            <w:tcW w:w="3304" w:type="dxa"/>
            <w:gridSpan w:val="2"/>
          </w:tcPr>
          <w:p w:rsidR="0063318B" w:rsidRPr="008463BF" w:rsidRDefault="0063318B" w:rsidP="0063318B">
            <w:pPr>
              <w:rPr>
                <w:i/>
              </w:rPr>
            </w:pPr>
          </w:p>
        </w:tc>
        <w:tc>
          <w:tcPr>
            <w:tcW w:w="3425" w:type="dxa"/>
            <w:gridSpan w:val="2"/>
          </w:tcPr>
          <w:p w:rsidR="0063318B" w:rsidRDefault="0063318B" w:rsidP="0063318B"/>
        </w:tc>
        <w:tc>
          <w:tcPr>
            <w:tcW w:w="3426" w:type="dxa"/>
            <w:gridSpan w:val="2"/>
          </w:tcPr>
          <w:p w:rsidR="0063318B" w:rsidRDefault="0063318B" w:rsidP="0063318B"/>
        </w:tc>
        <w:tc>
          <w:tcPr>
            <w:tcW w:w="3429" w:type="dxa"/>
          </w:tcPr>
          <w:p w:rsidR="0063318B" w:rsidRDefault="0063318B" w:rsidP="0063318B"/>
        </w:tc>
        <w:tc>
          <w:tcPr>
            <w:tcW w:w="3426" w:type="dxa"/>
          </w:tcPr>
          <w:p w:rsidR="0063318B" w:rsidRDefault="0063318B" w:rsidP="0063318B"/>
        </w:tc>
      </w:tr>
    </w:tbl>
    <w:p w:rsidR="007A0293" w:rsidRDefault="007A0293"/>
    <w:sectPr w:rsidR="007A0293" w:rsidSect="00AE2B24">
      <w:footerReference w:type="default" r:id="rId8"/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4C" w:rsidRDefault="006D224C" w:rsidP="007A0293">
      <w:pPr>
        <w:spacing w:after="0" w:line="240" w:lineRule="auto"/>
      </w:pPr>
      <w:r>
        <w:separator/>
      </w:r>
    </w:p>
  </w:endnote>
  <w:endnote w:type="continuationSeparator" w:id="0">
    <w:p w:rsidR="006D224C" w:rsidRDefault="006D224C" w:rsidP="007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901773"/>
      <w:docPartObj>
        <w:docPartGallery w:val="Page Numbers (Bottom of Page)"/>
        <w:docPartUnique/>
      </w:docPartObj>
    </w:sdtPr>
    <w:sdtEndPr/>
    <w:sdtContent>
      <w:p w:rsidR="007A0293" w:rsidRDefault="007A029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54">
          <w:rPr>
            <w:noProof/>
          </w:rPr>
          <w:t>2</w:t>
        </w:r>
        <w:r>
          <w:fldChar w:fldCharType="end"/>
        </w:r>
      </w:p>
    </w:sdtContent>
  </w:sdt>
  <w:p w:rsidR="007A0293" w:rsidRPr="00B60FE2" w:rsidRDefault="00AE2B24">
    <w:pPr>
      <w:pStyle w:val="Pieddepage"/>
      <w:rPr>
        <w:b/>
        <w:color w:val="000000" w:themeColor="text1"/>
      </w:rPr>
    </w:pPr>
    <w:r>
      <w:rPr>
        <w:b/>
        <w:color w:val="000000" w:themeColor="text1"/>
      </w:rPr>
      <w:t xml:space="preserve">Programmation mathématiques </w:t>
    </w:r>
    <w:r w:rsidR="00424054">
      <w:rPr>
        <w:b/>
        <w:color w:val="000000" w:themeColor="text1"/>
      </w:rPr>
      <w:t xml:space="preserve">CP </w:t>
    </w:r>
    <w:r>
      <w:rPr>
        <w:b/>
        <w:color w:val="000000" w:themeColor="text1"/>
      </w:rPr>
      <w:t>2019 Ecole Briand Benfeld</w:t>
    </w:r>
    <w:r w:rsidR="00B60FE2" w:rsidRPr="00B60FE2">
      <w:rPr>
        <w:b/>
        <w:color w:val="000000" w:themeColor="text1"/>
      </w:rPr>
      <w:t xml:space="preserve"> - circonscription d’Erstein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4C" w:rsidRDefault="006D224C" w:rsidP="007A0293">
      <w:pPr>
        <w:spacing w:after="0" w:line="240" w:lineRule="auto"/>
      </w:pPr>
      <w:r>
        <w:separator/>
      </w:r>
    </w:p>
  </w:footnote>
  <w:footnote w:type="continuationSeparator" w:id="0">
    <w:p w:rsidR="006D224C" w:rsidRDefault="006D224C" w:rsidP="007A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D2C"/>
    <w:multiLevelType w:val="hybridMultilevel"/>
    <w:tmpl w:val="EB7239E6"/>
    <w:lvl w:ilvl="0" w:tplc="DD9A0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39CE"/>
    <w:multiLevelType w:val="hybridMultilevel"/>
    <w:tmpl w:val="CFA4878A"/>
    <w:lvl w:ilvl="0" w:tplc="91E227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95096"/>
    <w:multiLevelType w:val="hybridMultilevel"/>
    <w:tmpl w:val="15FCAE20"/>
    <w:lvl w:ilvl="0" w:tplc="350A45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C2DB5"/>
    <w:multiLevelType w:val="hybridMultilevel"/>
    <w:tmpl w:val="6FFC7F14"/>
    <w:lvl w:ilvl="0" w:tplc="C53658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0"/>
    <w:rsid w:val="00004F02"/>
    <w:rsid w:val="00095C3A"/>
    <w:rsid w:val="000C170C"/>
    <w:rsid w:val="00182DCD"/>
    <w:rsid w:val="00183C5E"/>
    <w:rsid w:val="001E30C7"/>
    <w:rsid w:val="00232DDD"/>
    <w:rsid w:val="00265F18"/>
    <w:rsid w:val="0026713F"/>
    <w:rsid w:val="003841B4"/>
    <w:rsid w:val="00396DF5"/>
    <w:rsid w:val="003A032D"/>
    <w:rsid w:val="00424054"/>
    <w:rsid w:val="00430B8F"/>
    <w:rsid w:val="00480A0F"/>
    <w:rsid w:val="00490403"/>
    <w:rsid w:val="004B6EB7"/>
    <w:rsid w:val="00551588"/>
    <w:rsid w:val="005726EC"/>
    <w:rsid w:val="00583953"/>
    <w:rsid w:val="005A04BD"/>
    <w:rsid w:val="005A53D2"/>
    <w:rsid w:val="005B3B47"/>
    <w:rsid w:val="005E4241"/>
    <w:rsid w:val="006223D9"/>
    <w:rsid w:val="006228F0"/>
    <w:rsid w:val="0063234D"/>
    <w:rsid w:val="0063318B"/>
    <w:rsid w:val="00652091"/>
    <w:rsid w:val="00687EE0"/>
    <w:rsid w:val="006D224C"/>
    <w:rsid w:val="007257A6"/>
    <w:rsid w:val="00740C3F"/>
    <w:rsid w:val="007A0293"/>
    <w:rsid w:val="007A74EF"/>
    <w:rsid w:val="007D3EFE"/>
    <w:rsid w:val="008463BF"/>
    <w:rsid w:val="008B5FEC"/>
    <w:rsid w:val="008D5B5C"/>
    <w:rsid w:val="008F0B13"/>
    <w:rsid w:val="00901FB0"/>
    <w:rsid w:val="00947E93"/>
    <w:rsid w:val="009551A9"/>
    <w:rsid w:val="00A32710"/>
    <w:rsid w:val="00A40C1B"/>
    <w:rsid w:val="00A41DC9"/>
    <w:rsid w:val="00AC5F54"/>
    <w:rsid w:val="00AE2B24"/>
    <w:rsid w:val="00B60FE2"/>
    <w:rsid w:val="00BF23FB"/>
    <w:rsid w:val="00C773B0"/>
    <w:rsid w:val="00CB4EED"/>
    <w:rsid w:val="00DC7A0C"/>
    <w:rsid w:val="00F047DF"/>
    <w:rsid w:val="00F76808"/>
    <w:rsid w:val="00F84BEF"/>
    <w:rsid w:val="00FD04CE"/>
    <w:rsid w:val="00FF48A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B023-50ED-489D-A74B-A5DB8217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293"/>
  </w:style>
  <w:style w:type="paragraph" w:styleId="Pieddepage">
    <w:name w:val="footer"/>
    <w:basedOn w:val="Normal"/>
    <w:link w:val="PieddepageCar"/>
    <w:uiPriority w:val="99"/>
    <w:unhideWhenUsed/>
    <w:rsid w:val="007A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293"/>
  </w:style>
  <w:style w:type="paragraph" w:styleId="Textedebulles">
    <w:name w:val="Balloon Text"/>
    <w:basedOn w:val="Normal"/>
    <w:link w:val="TextedebullesCar"/>
    <w:uiPriority w:val="99"/>
    <w:semiHidden/>
    <w:unhideWhenUsed/>
    <w:rsid w:val="005B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B4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F419-A738-4B05-8ABF-3E5992B2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1314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Ballandras</dc:creator>
  <cp:keywords/>
  <dc:description/>
  <cp:lastModifiedBy>Prof</cp:lastModifiedBy>
  <cp:revision>8</cp:revision>
  <cp:lastPrinted>2019-05-23T10:38:00Z</cp:lastPrinted>
  <dcterms:created xsi:type="dcterms:W3CDTF">2019-03-02T13:24:00Z</dcterms:created>
  <dcterms:modified xsi:type="dcterms:W3CDTF">2019-05-23T12:49:00Z</dcterms:modified>
</cp:coreProperties>
</file>